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67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/>
      <w:bookmarkStart w:id="0" w:name="sub_1000"/>
      <w:r>
        <w:rPr>
          <w:rFonts w:ascii="Times New Roman" w:hAnsi="Times New Roman" w:cs="Times New Roman"/>
          <w:bCs/>
          <w:sz w:val="28"/>
          <w:szCs w:val="28"/>
        </w:rPr>
        <w:t xml:space="preserve">УТВЕРЖДЕНА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распоряжением администрации 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left="567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Копейского городского округа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от______________№_________</w:t>
      </w:r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</w:t>
      </w:r>
      <w:r>
        <w:rPr>
          <w:rFonts w:ascii="Times New Roman" w:hAnsi="Times New Roman" w:cs="Times New Roman"/>
          <w:sz w:val="28"/>
          <w:szCs w:val="28"/>
        </w:rPr>
        <w:t xml:space="preserve">ая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Молодёжь Копейска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numPr>
          <w:ilvl w:val="0"/>
          <w:numId w:val="1"/>
        </w:numPr>
        <w:ind w:left="0" w:firstLine="0"/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 текущего состояния сферы </w:t>
      </w:r>
      <w:r>
        <w:rPr>
          <w:rFonts w:ascii="Times New Roman" w:hAnsi="Times New Roman"/>
          <w:sz w:val="28"/>
          <w:szCs w:val="28"/>
        </w:rPr>
        <w:t xml:space="preserve">молодёжной политики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7"/>
        <w:ind w:left="108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</w:p>
    <w:p>
      <w:pPr>
        <w:pStyle w:val="947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 xml:space="preserve">округа за последние годы удалось достичь заметного улучшения социально-экономического положения молодёжи. Наблюдается стремление к ведению здорового образа жизни, снизился уровень молодёжной безработицы, наме</w:t>
      </w:r>
      <w:r>
        <w:rPr>
          <w:rFonts w:ascii="Times New Roman" w:hAnsi="Times New Roman" w:cs="Times New Roman"/>
          <w:sz w:val="28"/>
          <w:szCs w:val="28"/>
        </w:rPr>
        <w:t xml:space="preserve">тилось снижение преступности, увеличилось число молодёжи с активной гражданской позицией. Многие представители молодёжи входят в число победителей и призёров городских, областных, всероссийских и международных олимпиад, соревнований, творческих конкурсов.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городском округе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сохранена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инфраструктура учреждений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работающих с молодежью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разработана и успешно действует система мероприятий, обеспечивающих привлечение молодежи к позитивному проведению досуга, занятиям физ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ической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культурой и спор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том, творческой самореализацией,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обеспечены условия формирования у молодежи первичных трудовых навыков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достигнуты значительные успехи различными творческими и спортивными молодежными коллективами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созданы структуры органов ученического и студенческого самоуправления, детские и молодежные организации, объединенные в Ассоциацию «ОКО»,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Общественный молодежный Совет при Главе городского округа и ряд других общественных организаций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Продолжает активно развиваться волонтёрское движение. Более 9 тысяч человек принимают участие в добровольческой деятельности.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 2023 года на территории городского округа открыт «Добро. Центр» </w:t>
      </w:r>
      <w:r>
        <w:rPr>
          <w:rFonts w:ascii="Times New Roman" w:hAnsi="Times New Roman" w:cs="Times New Roman"/>
          <w:sz w:val="28"/>
          <w:szCs w:val="28"/>
        </w:rPr>
        <w:t xml:space="preserve">с целью вовлечения молодёжи в волонтёрскую деятельность, поддержки молодёжных инициатив, обучению социальному проектированию и составлению </w:t>
      </w:r>
      <w:r>
        <w:rPr>
          <w:rFonts w:ascii="Times New Roman" w:hAnsi="Times New Roman" w:cs="Times New Roman"/>
          <w:sz w:val="28"/>
          <w:szCs w:val="28"/>
        </w:rPr>
        <w:t xml:space="preserve">грантовых</w:t>
      </w:r>
      <w:r>
        <w:rPr>
          <w:rFonts w:ascii="Times New Roman" w:hAnsi="Times New Roman" w:cs="Times New Roman"/>
          <w:sz w:val="28"/>
          <w:szCs w:val="28"/>
        </w:rPr>
        <w:t xml:space="preserve"> заявок.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47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Налажено взаимодействие с социально ориентированными некоммерческими организациями, представителями талантливой, творческой, работающей молодёжи.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47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Проблемным фактором молодёжной политики является деструктивное информационное воздействие на молодёжь, следствие которого могут стать повышенная агрессивность в молодёжной среде, национальная и религиозная нетерпимость, социальное напряжение в обществе.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47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Эффективная реализация молодёжной политики должна обеспечивать устойчивый рост числа молодых л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юдей, мотивированных на позитивные действия, разделяющих общечеловеческие и национальные духовные ценности, обладающих хорошим физическим здоровьем, занимающихся физической культурой и спортом, работающих над своим личностным и профессиональным развитием.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numPr>
          <w:ilvl w:val="0"/>
          <w:numId w:val="1"/>
        </w:numPr>
        <w:ind w:left="0" w:right="0" w:firstLine="70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риорит</w:t>
      </w:r>
      <w:r>
        <w:rPr>
          <w:rFonts w:ascii="Times New Roman" w:hAnsi="Times New Roman"/>
          <w:sz w:val="28"/>
          <w:szCs w:val="28"/>
        </w:rPr>
        <w:t xml:space="preserve">ет</w:t>
      </w:r>
      <w:r>
        <w:rPr>
          <w:rFonts w:ascii="Times New Roman" w:hAnsi="Times New Roman"/>
          <w:sz w:val="28"/>
          <w:szCs w:val="28"/>
        </w:rPr>
        <w:t xml:space="preserve">ы</w:t>
      </w:r>
      <w:r>
        <w:rPr>
          <w:rFonts w:ascii="Times New Roman" w:hAnsi="Times New Roman"/>
          <w:sz w:val="28"/>
          <w:szCs w:val="28"/>
        </w:rPr>
        <w:t xml:space="preserve"> и цел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муниципальной политики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ind w:left="0" w:right="0" w:firstLine="70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сфере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п</w:t>
      </w:r>
      <w:r>
        <w:rPr>
          <w:rFonts w:ascii="Times New Roman" w:hAnsi="Times New Roman"/>
          <w:sz w:val="28"/>
          <w:szCs w:val="28"/>
        </w:rPr>
        <w:t xml:space="preserve">рограммы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88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Муниципальная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программа</w:t>
      </w:r>
      <w:r>
        <w:rPr>
          <w:rFonts w:ascii="Times New Roman" w:hAnsi="Times New Roman" w:cs="Times New Roman"/>
          <w:sz w:val="28"/>
          <w:szCs w:val="28"/>
        </w:rPr>
        <w:t xml:space="preserve"> «Молодёжь Копейска» (далее – Программа)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вляется продолжением программных мероприятий по реализации государственной молодежной политики в городском округе, направленной на создание правовых, экономических и организационных условий для развития личности, поддержки детских и молодежных объединений.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88"/>
        <w:ind w:left="0" w:right="0" w:firstLine="709"/>
        <w:jc w:val="both"/>
        <w:tabs>
          <w:tab w:val="left" w:pos="7886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городском округе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заложены организационные основы государственной молодежной политики, отработаны механизмы ее реализации.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47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 Программа определяет приоритеты и цели муниципальной политики в сфере молодёжной политики в </w:t>
      </w:r>
      <w:r>
        <w:rPr>
          <w:rFonts w:ascii="Times New Roman" w:hAnsi="Times New Roman" w:cs="Times New Roman"/>
          <w:sz w:val="28"/>
          <w:szCs w:val="28"/>
        </w:rPr>
        <w:t xml:space="preserve">Копейском городском округе</w:t>
      </w:r>
      <w:r>
        <w:rPr>
          <w:rFonts w:ascii="Times New Roman" w:hAnsi="Times New Roman" w:cs="Times New Roman"/>
          <w:sz w:val="28"/>
          <w:szCs w:val="28"/>
        </w:rPr>
        <w:t xml:space="preserve">, их взаимоувязку со стратегическими приоритетами,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задачи муниципального управления, способы их эффективного решения (финансовое обеспечение, механизмы реализации, показатели результативности).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направлена на создание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Копейского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благоприятных условий для формирования гражданско-патриотического и духовно-нравственного воспитания молодёжи, расширение возможностей для эффективной самореализации молодёжи и повышение уровня её потенциала. Объектом Программы </w:t>
      </w:r>
      <w:r>
        <w:rPr>
          <w:rFonts w:ascii="Times New Roman" w:hAnsi="Times New Roman" w:cs="Times New Roman"/>
          <w:sz w:val="28"/>
          <w:szCs w:val="28"/>
        </w:rPr>
        <w:t xml:space="preserve">является</w:t>
      </w:r>
      <w:r>
        <w:rPr>
          <w:rFonts w:ascii="Times New Roman" w:hAnsi="Times New Roman" w:cs="Times New Roman"/>
          <w:sz w:val="28"/>
          <w:szCs w:val="28"/>
        </w:rPr>
        <w:t xml:space="preserve"> сфера молодёжной политики, </w:t>
      </w:r>
      <w:r>
        <w:rPr>
          <w:rFonts w:ascii="Times New Roman" w:hAnsi="Times New Roman" w:cs="Times New Roman"/>
          <w:sz w:val="28"/>
          <w:szCs w:val="28"/>
        </w:rPr>
        <w:t xml:space="preserve">реализация муниципальной политики в деятельности отдела по делам молодёжи</w:t>
      </w:r>
      <w:r>
        <w:rPr>
          <w:rFonts w:ascii="Times New Roman" w:hAnsi="Times New Roman" w:cs="Times New Roman"/>
          <w:sz w:val="28"/>
          <w:szCs w:val="28"/>
        </w:rPr>
        <w:t xml:space="preserve"> Копейского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sz w:val="28"/>
          <w:szCs w:val="28"/>
        </w:rPr>
        <w:t xml:space="preserve">отдел молодёжи</w:t>
      </w:r>
      <w:r>
        <w:rPr>
          <w:rFonts w:ascii="Times New Roman" w:hAnsi="Times New Roman" w:cs="Times New Roman"/>
          <w:sz w:val="28"/>
          <w:szCs w:val="28"/>
        </w:rPr>
        <w:t xml:space="preserve">, городско</w:t>
      </w:r>
      <w:r>
        <w:rPr>
          <w:rFonts w:ascii="Times New Roman" w:hAnsi="Times New Roman" w:cs="Times New Roman"/>
          <w:sz w:val="28"/>
          <w:szCs w:val="28"/>
        </w:rPr>
        <w:t xml:space="preserve">й</w:t>
      </w:r>
      <w:r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47"/>
        <w:ind w:left="0" w:firstLine="709"/>
        <w:jc w:val="both"/>
        <w:spacing w:after="0" w:line="240" w:lineRule="auto"/>
        <w:tabs>
          <w:tab w:val="left" w:pos="2051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Главным результатом реализации Программы должно стать улучшение социально-экономического положения молодёжи в Копейском городском округе и увеличение степени её вовлеченности в социально-экономическую жизни страны.</w:t>
      </w:r>
      <w:r>
        <w:rPr>
          <w:rFonts w:ascii="Times New Roman" w:hAnsi="Times New Roman" w:cs="Times New Roman"/>
          <w:sz w:val="28"/>
          <w:szCs w:val="28"/>
          <w:highlight w:val="none"/>
        </w:rPr>
        <w:tab/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47"/>
        <w:ind w:left="0" w:firstLine="709"/>
        <w:jc w:val="both"/>
        <w:spacing w:after="0" w:line="240" w:lineRule="auto"/>
        <w:tabs>
          <w:tab w:val="left" w:pos="2051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47"/>
        <w:numPr>
          <w:ilvl w:val="0"/>
          <w:numId w:val="1"/>
        </w:numPr>
        <w:ind w:left="0" w:firstLine="0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ведения о взаимоувязке со стратегическими приоритетами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ind w:left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составлении Программы учтены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национальные цели развития Российской Федерации на период до 2030 года и на перспективу до 2036 года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области молодёжной политики,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определенны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tooltip="https://internet.garant.ru/document/redirect/408992634/0" w:history="1">
        <w:r>
          <w:rPr>
            <w:rStyle w:val="950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Указ</w:t>
        </w:r>
        <w:r>
          <w:rPr>
            <w:rStyle w:val="950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ом</w:t>
        </w:r>
        <w:r>
          <w:rPr>
            <w:rStyle w:val="950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Президента Россий</w:t>
        </w:r>
        <w:r>
          <w:rPr>
            <w:rStyle w:val="950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ской Федерации </w:t>
        </w:r>
        <w:r>
          <w:rPr>
            <w:rStyle w:val="950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от 7 мая 2024 г. </w:t>
        </w:r>
        <w:r>
          <w:rPr>
            <w:rStyle w:val="950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№</w:t>
        </w:r>
        <w:r>
          <w:rPr>
            <w:rStyle w:val="950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309 </w:t>
        </w:r>
        <w:r>
          <w:rPr>
            <w:rStyle w:val="950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«</w:t>
        </w:r>
        <w:r>
          <w:rPr>
            <w:rStyle w:val="950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О национальных целях развития Российской Федерации на период до 2030 года и на перспективу до 2036 года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реализация потенциала каждого человека, развитие его талантов, воспитание патриотичной и социально ответственной личности.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Целевым показателем и задачей, выполнение которой характеризует достижение национальной цели «Реализация потенциала каждого человека, развитие его талантов, воспитание патриотичной и социально ответственной личности» является: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numPr>
          <w:ilvl w:val="0"/>
          <w:numId w:val="52"/>
        </w:numPr>
        <w:ind w:left="0" w:right="0" w:firstLine="709"/>
        <w:jc w:val="both"/>
        <w:spacing w:after="0" w:line="240" w:lineRule="auto"/>
        <w:tabs>
          <w:tab w:val="left" w:pos="99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увеличение</w:t>
      </w:r>
      <w:r>
        <w:rPr>
          <w:rFonts w:ascii="Times New Roman" w:hAnsi="Times New Roman" w:cs="Times New Roman"/>
          <w:sz w:val="28"/>
          <w:szCs w:val="28"/>
        </w:rPr>
        <w:t xml:space="preserve"> к 2030 году доли молодых людей, участвующих в проектах и программах, направленных на профессиональное, личностное развитие и патриотическое воспитание , не менее чем до 75 процентов;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947"/>
        <w:numPr>
          <w:ilvl w:val="0"/>
          <w:numId w:val="52"/>
        </w:numPr>
        <w:ind w:left="0" w:right="0" w:firstLine="709"/>
        <w:jc w:val="both"/>
        <w:spacing w:after="0" w:line="240" w:lineRule="auto"/>
        <w:tabs>
          <w:tab w:val="left" w:pos="99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увеличение</w:t>
      </w:r>
      <w:r>
        <w:rPr>
          <w:rFonts w:ascii="Times New Roman" w:hAnsi="Times New Roman" w:cs="Times New Roman"/>
          <w:sz w:val="28"/>
          <w:szCs w:val="28"/>
        </w:rPr>
        <w:t xml:space="preserve"> к 2030 году доли молодых людей,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верящих в возможности самореализации в России, не менее чем до 85 процентов;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47"/>
        <w:numPr>
          <w:ilvl w:val="0"/>
          <w:numId w:val="52"/>
        </w:numPr>
        <w:ind w:left="0" w:right="0" w:firstLine="709"/>
        <w:jc w:val="both"/>
        <w:spacing w:after="0" w:line="240" w:lineRule="auto"/>
        <w:tabs>
          <w:tab w:val="left" w:pos="99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увеличение</w:t>
      </w:r>
      <w:r>
        <w:rPr>
          <w:rFonts w:ascii="Times New Roman" w:hAnsi="Times New Roman" w:cs="Times New Roman"/>
          <w:sz w:val="28"/>
          <w:szCs w:val="28"/>
        </w:rPr>
        <w:t xml:space="preserve"> к 2030 году доли молодых людей,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вовлеченных в добровольческую и общественную деятельность, не менее чем до 45 процентов;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47"/>
        <w:numPr>
          <w:ilvl w:val="0"/>
          <w:numId w:val="52"/>
        </w:numPr>
        <w:ind w:left="0" w:right="0" w:firstLine="709"/>
        <w:jc w:val="both"/>
        <w:spacing w:after="0" w:line="240" w:lineRule="auto"/>
        <w:tabs>
          <w:tab w:val="left" w:pos="99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обеспечение к 2030 году функционирования эффективной системы выявления, поддержки и развития способностей и талантов детей и молодёжи,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обучающихся. </w:t>
      </w:r>
      <w:r>
        <w:rPr>
          <w:rFonts w:ascii="Times New Roman" w:hAnsi="Times New Roman" w:cs="Times New Roman"/>
          <w:sz w:val="28"/>
          <w:szCs w:val="28"/>
        </w:rPr>
      </w:r>
      <w:r/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Стратегии социально-экономического развития Копейского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на период до 2035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данные показатели отражены по </w:t>
      </w:r>
      <w:r>
        <w:rPr>
          <w:rFonts w:ascii="Times New Roman" w:hAnsi="Times New Roman" w:cs="Times New Roman"/>
          <w:sz w:val="28"/>
          <w:szCs w:val="28"/>
        </w:rPr>
        <w:t xml:space="preserve">направлени</w:t>
      </w:r>
      <w:r>
        <w:rPr>
          <w:rFonts w:ascii="Times New Roman" w:hAnsi="Times New Roman" w:cs="Times New Roman"/>
          <w:sz w:val="28"/>
          <w:szCs w:val="28"/>
        </w:rPr>
        <w:t xml:space="preserve">ю</w:t>
      </w:r>
      <w:r>
        <w:rPr>
          <w:rFonts w:ascii="Times New Roman" w:hAnsi="Times New Roman" w:cs="Times New Roman"/>
          <w:sz w:val="28"/>
          <w:szCs w:val="28"/>
        </w:rPr>
        <w:t xml:space="preserve"> «Социальная сфера»</w:t>
      </w:r>
      <w:r>
        <w:rPr>
          <w:rFonts w:ascii="Times New Roman" w:hAnsi="Times New Roman" w:cs="Times New Roman"/>
          <w:sz w:val="28"/>
          <w:szCs w:val="28"/>
        </w:rPr>
        <w:t xml:space="preserve"> (далее – Стратегия)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</w:t>
      </w:r>
      <w:r>
        <w:rPr>
          <w:rFonts w:ascii="Times New Roman" w:hAnsi="Times New Roman" w:cs="Times New Roman"/>
          <w:sz w:val="28"/>
          <w:szCs w:val="28"/>
        </w:rPr>
        <w:t xml:space="preserve"> Стратегии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развитие, модернизация и реформирование социальной сферы.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</w:t>
      </w:r>
      <w:r>
        <w:rPr>
          <w:rFonts w:ascii="Times New Roman" w:hAnsi="Times New Roman" w:cs="Times New Roman"/>
          <w:sz w:val="28"/>
          <w:szCs w:val="28"/>
        </w:rPr>
        <w:t xml:space="preserve"> Стратегии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Обеспечение доступности и высокого качества образования всех видов и уровней, воспитание детей и молодежи в соответствии с современными требованиями и потребностями экономики городского округа.</w:t>
      </w:r>
      <w:r>
        <w:rPr>
          <w:rFonts w:ascii="Times New Roman" w:hAnsi="Times New Roman" w:cs="Times New Roman"/>
          <w:sz w:val="28"/>
          <w:szCs w:val="28"/>
        </w:rPr>
      </w:r>
      <w:r>
        <w:rPr>
          <w:highlight w:val="none"/>
        </w:rPr>
      </w:r>
    </w:p>
    <w:p>
      <w:pPr>
        <w:pStyle w:val="947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 Стратегией </w:t>
      </w:r>
      <w:r>
        <w:rPr>
          <w:rFonts w:ascii="Times New Roman" w:hAnsi="Times New Roman" w:cs="Times New Roman"/>
          <w:sz w:val="28"/>
          <w:szCs w:val="28"/>
        </w:rPr>
        <w:t xml:space="preserve">Программ</w:t>
      </w:r>
      <w:r>
        <w:rPr>
          <w:rFonts w:ascii="Times New Roman" w:hAnsi="Times New Roman" w:cs="Times New Roman"/>
          <w:sz w:val="28"/>
          <w:szCs w:val="28"/>
        </w:rPr>
        <w:t xml:space="preserve">а взаимоувязана посредством следующих показателей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numPr>
          <w:ilvl w:val="0"/>
          <w:numId w:val="48"/>
        </w:numPr>
        <w:ind w:left="0" w:right="0" w:firstLine="709"/>
        <w:jc w:val="both"/>
        <w:spacing w:after="0" w:line="240" w:lineRule="auto"/>
        <w:tabs>
          <w:tab w:val="left" w:pos="850" w:leader="none"/>
          <w:tab w:val="left" w:pos="992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создание условий для реализации интеллектуального, творческого потенциала детей и молодежи, ранней профессиональной ориентации детей и молодежи;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47"/>
        <w:numPr>
          <w:ilvl w:val="0"/>
          <w:numId w:val="48"/>
        </w:numPr>
        <w:ind w:left="0" w:right="0" w:firstLine="709"/>
        <w:jc w:val="both"/>
        <w:spacing w:after="0" w:line="240" w:lineRule="auto"/>
        <w:tabs>
          <w:tab w:val="left" w:pos="850" w:leader="none"/>
          <w:tab w:val="left" w:pos="992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создание условий для гражданского и патриотического становления молодежи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47"/>
        <w:numPr>
          <w:ilvl w:val="0"/>
          <w:numId w:val="48"/>
        </w:numPr>
        <w:ind w:left="0" w:right="0" w:firstLine="709"/>
        <w:jc w:val="both"/>
        <w:spacing w:after="0" w:line="240" w:lineRule="auto"/>
        <w:tabs>
          <w:tab w:val="left" w:pos="850" w:leader="none"/>
          <w:tab w:val="left" w:pos="992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содействие в профессиональной подготовке молодежи и реализации предпринимательских способностей.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240" w:lineRule="auto"/>
        <w:tabs>
          <w:tab w:val="left" w:pos="850" w:leader="none"/>
          <w:tab w:val="left" w:pos="992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государственной программе Челябинской области «Повышение эффективности реализации молодёжной политики в Челябинской области» предусмотрена задача: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: 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традиций.</w:t>
      </w:r>
      <w:r>
        <w:rPr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С данной задачей Программа взаимоувязана следующим показателем: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47"/>
        <w:numPr>
          <w:ilvl w:val="0"/>
          <w:numId w:val="51"/>
        </w:numPr>
        <w:ind w:left="0" w:right="0" w:firstLine="1058"/>
        <w:jc w:val="both"/>
        <w:spacing w:after="0" w:line="240" w:lineRule="auto"/>
        <w:tabs>
          <w:tab w:val="left" w:pos="1417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общая численност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ь граждан, вовлеченных центрами (сообществами, объединениями) поддержки добровольчества (волонтёрства) на базе образовательных организаций, некоммерческих организаций, государственных и муниципальных учреждений в добровольческую (волонтёрскую) деятельность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947"/>
        <w:ind w:left="0" w:firstLine="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numPr>
          <w:ilvl w:val="0"/>
          <w:numId w:val="1"/>
        </w:numPr>
        <w:ind w:left="0" w:firstLine="0"/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адачи муниципального управления,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7"/>
        <w:ind w:left="0"/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способы их эффективного решения в </w:t>
      </w:r>
      <w:r>
        <w:rPr>
          <w:rFonts w:ascii="Times New Roman" w:hAnsi="Times New Roman"/>
          <w:sz w:val="28"/>
          <w:szCs w:val="28"/>
        </w:rPr>
        <w:t xml:space="preserve">сфере молодёжной политики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7"/>
        <w:ind w:left="0"/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7"/>
        <w:ind w:left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/>
      <w:bookmarkStart w:id="3" w:name="sub_1089"/>
      <w:r>
        <w:rPr>
          <w:rFonts w:ascii="Times New Roman" w:hAnsi="Times New Roman"/>
          <w:sz w:val="28"/>
          <w:szCs w:val="28"/>
        </w:rPr>
        <w:t xml:space="preserve">Ответственный исполнитель муниципальной программы: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7"/>
        <w:ind w:left="0"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 по делам молодёжи администрации Копейского городского округа Челябинской области (далее – отдел молодёжи администрации округа, округ).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7"/>
        <w:ind w:left="0" w:firstLine="708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 обеспечивает: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/>
      <w:bookmarkStart w:id="4" w:name="sub_1090"/>
      <w:r/>
      <w:bookmarkEnd w:id="3"/>
      <w:r>
        <w:rPr>
          <w:rFonts w:ascii="Times New Roman" w:hAnsi="Times New Roman" w:cs="Times New Roman"/>
          <w:sz w:val="28"/>
          <w:szCs w:val="28"/>
        </w:rPr>
        <w:t xml:space="preserve">1) текущее управление реализацией Программы;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/>
      <w:bookmarkStart w:id="5" w:name="sub_1091"/>
      <w:r/>
      <w:bookmarkEnd w:id="4"/>
      <w:r>
        <w:rPr>
          <w:rFonts w:ascii="Times New Roman" w:hAnsi="Times New Roman" w:cs="Times New Roman"/>
          <w:sz w:val="28"/>
          <w:szCs w:val="28"/>
        </w:rPr>
        <w:t xml:space="preserve">2) достижение утвержденных значений целевых индикаторов, ожидаемых результатов реализации Программы;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/>
      <w:bookmarkStart w:id="6" w:name="sub_1092"/>
      <w:r/>
      <w:bookmarkEnd w:id="5"/>
      <w:r>
        <w:rPr>
          <w:rFonts w:ascii="Times New Roman" w:hAnsi="Times New Roman" w:cs="Times New Roman"/>
          <w:sz w:val="28"/>
          <w:szCs w:val="28"/>
        </w:rPr>
        <w:t xml:space="preserve">3) внесение изменений в Программу в установленном порядке;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/>
      <w:bookmarkStart w:id="7" w:name="sub_1093"/>
      <w:r/>
      <w:bookmarkEnd w:id="6"/>
      <w:r>
        <w:rPr>
          <w:rFonts w:ascii="Times New Roman" w:hAnsi="Times New Roman" w:cs="Times New Roman"/>
          <w:sz w:val="28"/>
          <w:szCs w:val="28"/>
        </w:rPr>
        <w:t xml:space="preserve">4) ежегодное уточнение с учетом выделенных на реализацию Программы финансовых средств целевых индикаторов и показателей ожидаемых результатов исполнения мероприятий Программы, затрат по программным мероприятиям, механизмов реализации Программы;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/>
      <w:bookmarkStart w:id="8" w:name="sub_1094"/>
      <w:r/>
      <w:bookmarkEnd w:id="7"/>
      <w:r>
        <w:rPr>
          <w:rFonts w:ascii="Times New Roman" w:hAnsi="Times New Roman" w:cs="Times New Roman"/>
          <w:sz w:val="28"/>
          <w:szCs w:val="28"/>
        </w:rPr>
        <w:t xml:space="preserve">5) уточнение на основе анализа выполнения мероприятий Программы и ее эффективности в текущем году объема средств, необходимых для финансирования Программы в очередном финансовом году;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/>
      <w:bookmarkStart w:id="9" w:name="sub_1095"/>
      <w:r/>
      <w:bookmarkEnd w:id="8"/>
      <w:r>
        <w:rPr>
          <w:rFonts w:ascii="Times New Roman" w:hAnsi="Times New Roman" w:cs="Times New Roman"/>
          <w:sz w:val="28"/>
          <w:szCs w:val="28"/>
        </w:rPr>
        <w:t xml:space="preserve">6) в случае необходимости подготовку предложений по внесению изменений, касающихся объемов бюджетных ассигнований ответственного исполнителя, в </w:t>
      </w:r>
      <w:r>
        <w:rPr>
          <w:rFonts w:ascii="Times New Roman" w:hAnsi="Times New Roman" w:cs="Times New Roman"/>
          <w:sz w:val="28"/>
          <w:szCs w:val="28"/>
        </w:rPr>
        <w:t xml:space="preserve">решение Собрания депутатов Копейского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о бюджете города Челябинска на текущий финансовый год и плановый период с обоснованием предложенных изменений;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ind w:left="0" w:firstLine="709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/>
      <w:bookmarkStart w:id="10" w:name="sub_1096"/>
      <w:r/>
      <w:bookmarkEnd w:id="9"/>
      <w:r>
        <w:rPr>
          <w:rFonts w:ascii="Times New Roman" w:hAnsi="Times New Roman" w:cs="Times New Roman"/>
          <w:sz w:val="28"/>
          <w:szCs w:val="28"/>
        </w:rPr>
        <w:t xml:space="preserve">7) представление </w:t>
      </w:r>
      <w:r>
        <w:rPr>
          <w:rFonts w:ascii="Times New Roman" w:hAnsi="Times New Roman" w:cs="Times New Roman"/>
          <w:sz w:val="28"/>
          <w:szCs w:val="28"/>
        </w:rPr>
        <w:t xml:space="preserve">в управление экономического развития администрации Копейского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hAnsi="Times New Roman" w:cs="Times New Roman"/>
          <w:sz w:val="28"/>
          <w:szCs w:val="28"/>
        </w:rPr>
        <w:t xml:space="preserve">в управление 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) отчета </w:t>
      </w:r>
      <w:bookmarkStart w:id="11" w:name="sub_1097"/>
      <w:r/>
      <w:bookmarkEnd w:id="10"/>
      <w:r>
        <w:rPr>
          <w:rFonts w:ascii="Times New Roman" w:hAnsi="Times New Roman" w:cs="Times New Roman"/>
          <w:sz w:val="28"/>
          <w:szCs w:val="28"/>
        </w:rPr>
        <w:t xml:space="preserve"> о реализации Про</w:t>
      </w:r>
      <w:r>
        <w:rPr>
          <w:rFonts w:ascii="Times New Roman" w:hAnsi="Times New Roman" w:cs="Times New Roman"/>
          <w:sz w:val="28"/>
          <w:szCs w:val="28"/>
        </w:rPr>
        <w:t xml:space="preserve">граммы за полугодие и девять месяцев текущего года (далее – отчетный период), составленный по таблицам согласно приложению 4 к настоящему Порядку, заполняемые нарастающим итогом с начала года, – не позднее 16 числа месяца, следующего за отчетным периодом;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ind w:left="0" w:firstLine="709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представление в управление экономического развития годового отчета о реализации 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рограммы (далее – годовой отчет) - не позднее 1 марта года, следующего за отчетным годом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/>
      <w:bookmarkStart w:id="12" w:name="sub_1098"/>
      <w:r/>
      <w:bookmarkEnd w:id="11"/>
      <w:r>
        <w:rPr>
          <w:rFonts w:ascii="Times New Roman" w:hAnsi="Times New Roman" w:cs="Times New Roman"/>
          <w:sz w:val="28"/>
          <w:szCs w:val="28"/>
        </w:rPr>
        <w:t xml:space="preserve">9) размещение годового отчета о реализации Программы в государственную автоматизированную информационную систему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Управление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не позднее 1 июня года, следующего за отчетным;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/>
      <w:bookmarkStart w:id="13" w:name="sub_1099"/>
      <w:r/>
      <w:bookmarkEnd w:id="12"/>
      <w:r>
        <w:rPr>
          <w:rFonts w:ascii="Times New Roman" w:hAnsi="Times New Roman" w:cs="Times New Roman"/>
          <w:sz w:val="28"/>
          <w:szCs w:val="28"/>
        </w:rPr>
        <w:t xml:space="preserve">10) представление по запросу </w:t>
      </w:r>
      <w:r>
        <w:rPr>
          <w:rFonts w:ascii="Times New Roman" w:hAnsi="Times New Roman" w:cs="Times New Roman"/>
          <w:sz w:val="28"/>
          <w:szCs w:val="28"/>
        </w:rPr>
        <w:t xml:space="preserve">управления 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иной дополнительной (уточненной) информации о ходе реализации Программы.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/>
      <w:bookmarkStart w:id="14" w:name="sub_1101"/>
      <w:r/>
      <w:bookmarkEnd w:id="13"/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исполнитель, соисполнители и участники Программы несут ответственность за реализацию соответствующих структурных элементов муниципальной программы, выполнение мероприятий (достижение результатов), до</w:t>
      </w:r>
      <w:r>
        <w:rPr>
          <w:rFonts w:ascii="Times New Roman" w:hAnsi="Times New Roman" w:cs="Times New Roman"/>
          <w:sz w:val="28"/>
          <w:szCs w:val="28"/>
        </w:rPr>
        <w:t xml:space="preserve">стижение соответствующих показателей муниципальной программы и ее структурных элементов, а также полноту и достоверность сведений, представляемых для подготовки годового отчета о ходе реализации и об оценке эффективности реализации муниципальной программы.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ind w:left="0" w:firstLine="708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Программы и общую координацию реализации программных мероприятий осуществляет заместитель Главы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по социальному развитию.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7"/>
        <w:ind w:left="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6838" w:h="11906" w:orient="landscape"/>
      <w:pgMar w:top="1701" w:right="1134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 CYR">
    <w:panose1 w:val="020206030504050203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06254188"/>
      <w:docPartObj>
        <w:docPartGallery w:val="Page Numbers (Top of Page)"/>
        <w:docPartUnique w:val="true"/>
      </w:docPartObj>
      <w:rPr/>
    </w:sdtPr>
    <w:sdtContent>
      <w:p>
        <w:pPr>
          <w:pStyle w:val="955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95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15"/>
  </w:num>
  <w:num w:numId="2">
    <w:abstractNumId w:val="27"/>
  </w:num>
  <w:num w:numId="3">
    <w:abstractNumId w:val="28"/>
  </w:num>
  <w:num w:numId="4">
    <w:abstractNumId w:val="41"/>
  </w:num>
  <w:num w:numId="5">
    <w:abstractNumId w:val="21"/>
  </w:num>
  <w:num w:numId="6">
    <w:abstractNumId w:val="38"/>
  </w:num>
  <w:num w:numId="7">
    <w:abstractNumId w:val="31"/>
  </w:num>
  <w:num w:numId="8">
    <w:abstractNumId w:val="33"/>
  </w:num>
  <w:num w:numId="9">
    <w:abstractNumId w:val="13"/>
  </w:num>
  <w:num w:numId="10">
    <w:abstractNumId w:val="5"/>
  </w:num>
  <w:num w:numId="11">
    <w:abstractNumId w:val="26"/>
  </w:num>
  <w:num w:numId="12">
    <w:abstractNumId w:val="25"/>
  </w:num>
  <w:num w:numId="13">
    <w:abstractNumId w:val="2"/>
  </w:num>
  <w:num w:numId="14">
    <w:abstractNumId w:val="11"/>
  </w:num>
  <w:num w:numId="15">
    <w:abstractNumId w:val="6"/>
  </w:num>
  <w:num w:numId="16">
    <w:abstractNumId w:val="22"/>
  </w:num>
  <w:num w:numId="17">
    <w:abstractNumId w:val="36"/>
  </w:num>
  <w:num w:numId="18">
    <w:abstractNumId w:val="12"/>
  </w:num>
  <w:num w:numId="19">
    <w:abstractNumId w:val="45"/>
  </w:num>
  <w:num w:numId="20">
    <w:abstractNumId w:val="29"/>
  </w:num>
  <w:num w:numId="21">
    <w:abstractNumId w:val="3"/>
  </w:num>
  <w:num w:numId="22">
    <w:abstractNumId w:val="42"/>
  </w:num>
  <w:num w:numId="23">
    <w:abstractNumId w:val="30"/>
  </w:num>
  <w:num w:numId="24">
    <w:abstractNumId w:val="23"/>
  </w:num>
  <w:num w:numId="25">
    <w:abstractNumId w:val="18"/>
  </w:num>
  <w:num w:numId="26">
    <w:abstractNumId w:val="40"/>
  </w:num>
  <w:num w:numId="27">
    <w:abstractNumId w:val="17"/>
  </w:num>
  <w:num w:numId="28">
    <w:abstractNumId w:val="7"/>
  </w:num>
  <w:num w:numId="29">
    <w:abstractNumId w:val="19"/>
  </w:num>
  <w:num w:numId="30">
    <w:abstractNumId w:val="37"/>
  </w:num>
  <w:num w:numId="31">
    <w:abstractNumId w:val="10"/>
  </w:num>
  <w:num w:numId="32">
    <w:abstractNumId w:val="16"/>
  </w:num>
  <w:num w:numId="33">
    <w:abstractNumId w:val="43"/>
  </w:num>
  <w:num w:numId="34">
    <w:abstractNumId w:val="34"/>
  </w:num>
  <w:num w:numId="35">
    <w:abstractNumId w:val="1"/>
  </w:num>
  <w:num w:numId="36">
    <w:abstractNumId w:val="32"/>
  </w:num>
  <w:num w:numId="37">
    <w:abstractNumId w:val="20"/>
  </w:num>
  <w:num w:numId="38">
    <w:abstractNumId w:val="8"/>
  </w:num>
  <w:num w:numId="39">
    <w:abstractNumId w:val="24"/>
  </w:num>
  <w:num w:numId="40">
    <w:abstractNumId w:val="9"/>
  </w:num>
  <w:num w:numId="41">
    <w:abstractNumId w:val="0"/>
  </w:num>
  <w:num w:numId="42">
    <w:abstractNumId w:val="44"/>
  </w:num>
  <w:num w:numId="43">
    <w:abstractNumId w:val="35"/>
  </w:num>
  <w:num w:numId="44">
    <w:abstractNumId w:val="14"/>
  </w:num>
  <w:num w:numId="45">
    <w:abstractNumId w:val="39"/>
  </w:num>
  <w:num w:numId="46">
    <w:abstractNumId w:val="4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2">
    <w:name w:val="Heading 1 Char"/>
    <w:basedOn w:val="944"/>
    <w:link w:val="942"/>
    <w:uiPriority w:val="9"/>
    <w:rPr>
      <w:rFonts w:ascii="Arial" w:hAnsi="Arial" w:eastAsia="Arial" w:cs="Arial"/>
      <w:sz w:val="40"/>
      <w:szCs w:val="40"/>
    </w:rPr>
  </w:style>
  <w:style w:type="paragraph" w:styleId="773">
    <w:name w:val="Heading 2"/>
    <w:basedOn w:val="941"/>
    <w:next w:val="941"/>
    <w:link w:val="77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74">
    <w:name w:val="Heading 2 Char"/>
    <w:basedOn w:val="944"/>
    <w:link w:val="773"/>
    <w:uiPriority w:val="9"/>
    <w:rPr>
      <w:rFonts w:ascii="Arial" w:hAnsi="Arial" w:eastAsia="Arial" w:cs="Arial"/>
      <w:sz w:val="34"/>
    </w:rPr>
  </w:style>
  <w:style w:type="character" w:styleId="775">
    <w:name w:val="Heading 3 Char"/>
    <w:basedOn w:val="944"/>
    <w:link w:val="943"/>
    <w:uiPriority w:val="9"/>
    <w:rPr>
      <w:rFonts w:ascii="Arial" w:hAnsi="Arial" w:eastAsia="Arial" w:cs="Arial"/>
      <w:sz w:val="30"/>
      <w:szCs w:val="30"/>
    </w:rPr>
  </w:style>
  <w:style w:type="paragraph" w:styleId="776">
    <w:name w:val="Heading 4"/>
    <w:basedOn w:val="941"/>
    <w:next w:val="941"/>
    <w:link w:val="7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77">
    <w:name w:val="Heading 4 Char"/>
    <w:basedOn w:val="944"/>
    <w:link w:val="776"/>
    <w:uiPriority w:val="9"/>
    <w:rPr>
      <w:rFonts w:ascii="Arial" w:hAnsi="Arial" w:eastAsia="Arial" w:cs="Arial"/>
      <w:b/>
      <w:bCs/>
      <w:sz w:val="26"/>
      <w:szCs w:val="26"/>
    </w:rPr>
  </w:style>
  <w:style w:type="paragraph" w:styleId="778">
    <w:name w:val="Heading 5"/>
    <w:basedOn w:val="941"/>
    <w:next w:val="941"/>
    <w:link w:val="7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79">
    <w:name w:val="Heading 5 Char"/>
    <w:basedOn w:val="944"/>
    <w:link w:val="778"/>
    <w:uiPriority w:val="9"/>
    <w:rPr>
      <w:rFonts w:ascii="Arial" w:hAnsi="Arial" w:eastAsia="Arial" w:cs="Arial"/>
      <w:b/>
      <w:bCs/>
      <w:sz w:val="24"/>
      <w:szCs w:val="24"/>
    </w:rPr>
  </w:style>
  <w:style w:type="paragraph" w:styleId="780">
    <w:name w:val="Heading 6"/>
    <w:basedOn w:val="941"/>
    <w:next w:val="941"/>
    <w:link w:val="7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1">
    <w:name w:val="Heading 6 Char"/>
    <w:basedOn w:val="944"/>
    <w:link w:val="780"/>
    <w:uiPriority w:val="9"/>
    <w:rPr>
      <w:rFonts w:ascii="Arial" w:hAnsi="Arial" w:eastAsia="Arial" w:cs="Arial"/>
      <w:b/>
      <w:bCs/>
      <w:sz w:val="22"/>
      <w:szCs w:val="22"/>
    </w:rPr>
  </w:style>
  <w:style w:type="paragraph" w:styleId="782">
    <w:name w:val="Heading 7"/>
    <w:basedOn w:val="941"/>
    <w:next w:val="941"/>
    <w:link w:val="7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3">
    <w:name w:val="Heading 7 Char"/>
    <w:basedOn w:val="944"/>
    <w:link w:val="7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4">
    <w:name w:val="Heading 8"/>
    <w:basedOn w:val="941"/>
    <w:next w:val="941"/>
    <w:link w:val="7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5">
    <w:name w:val="Heading 8 Char"/>
    <w:basedOn w:val="944"/>
    <w:link w:val="784"/>
    <w:uiPriority w:val="9"/>
    <w:rPr>
      <w:rFonts w:ascii="Arial" w:hAnsi="Arial" w:eastAsia="Arial" w:cs="Arial"/>
      <w:i/>
      <w:iCs/>
      <w:sz w:val="22"/>
      <w:szCs w:val="22"/>
    </w:rPr>
  </w:style>
  <w:style w:type="paragraph" w:styleId="786">
    <w:name w:val="Heading 9"/>
    <w:basedOn w:val="941"/>
    <w:next w:val="941"/>
    <w:link w:val="7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7">
    <w:name w:val="Heading 9 Char"/>
    <w:basedOn w:val="944"/>
    <w:link w:val="786"/>
    <w:uiPriority w:val="9"/>
    <w:rPr>
      <w:rFonts w:ascii="Arial" w:hAnsi="Arial" w:eastAsia="Arial" w:cs="Arial"/>
      <w:i/>
      <w:iCs/>
      <w:sz w:val="21"/>
      <w:szCs w:val="21"/>
    </w:rPr>
  </w:style>
  <w:style w:type="paragraph" w:styleId="788">
    <w:name w:val="No Spacing"/>
    <w:uiPriority w:val="1"/>
    <w:qFormat/>
    <w:pPr>
      <w:spacing w:before="0" w:after="0" w:line="240" w:lineRule="auto"/>
    </w:pPr>
  </w:style>
  <w:style w:type="paragraph" w:styleId="789">
    <w:name w:val="Title"/>
    <w:basedOn w:val="941"/>
    <w:next w:val="941"/>
    <w:link w:val="79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0">
    <w:name w:val="Title Char"/>
    <w:basedOn w:val="944"/>
    <w:link w:val="789"/>
    <w:uiPriority w:val="10"/>
    <w:rPr>
      <w:sz w:val="48"/>
      <w:szCs w:val="48"/>
    </w:rPr>
  </w:style>
  <w:style w:type="paragraph" w:styleId="791">
    <w:name w:val="Subtitle"/>
    <w:basedOn w:val="941"/>
    <w:next w:val="941"/>
    <w:link w:val="792"/>
    <w:uiPriority w:val="11"/>
    <w:qFormat/>
    <w:pPr>
      <w:spacing w:before="200" w:after="200"/>
    </w:pPr>
    <w:rPr>
      <w:sz w:val="24"/>
      <w:szCs w:val="24"/>
    </w:rPr>
  </w:style>
  <w:style w:type="character" w:styleId="792">
    <w:name w:val="Subtitle Char"/>
    <w:basedOn w:val="944"/>
    <w:link w:val="791"/>
    <w:uiPriority w:val="11"/>
    <w:rPr>
      <w:sz w:val="24"/>
      <w:szCs w:val="24"/>
    </w:rPr>
  </w:style>
  <w:style w:type="paragraph" w:styleId="793">
    <w:name w:val="Quote"/>
    <w:basedOn w:val="941"/>
    <w:next w:val="941"/>
    <w:link w:val="794"/>
    <w:uiPriority w:val="29"/>
    <w:qFormat/>
    <w:pPr>
      <w:ind w:left="720" w:right="720"/>
    </w:pPr>
    <w:rPr>
      <w:i/>
    </w:rPr>
  </w:style>
  <w:style w:type="character" w:styleId="794">
    <w:name w:val="Quote Char"/>
    <w:link w:val="793"/>
    <w:uiPriority w:val="29"/>
    <w:rPr>
      <w:i/>
    </w:rPr>
  </w:style>
  <w:style w:type="paragraph" w:styleId="795">
    <w:name w:val="Intense Quote"/>
    <w:basedOn w:val="941"/>
    <w:next w:val="941"/>
    <w:link w:val="79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6">
    <w:name w:val="Intense Quote Char"/>
    <w:link w:val="795"/>
    <w:uiPriority w:val="30"/>
    <w:rPr>
      <w:i/>
    </w:rPr>
  </w:style>
  <w:style w:type="character" w:styleId="797">
    <w:name w:val="Header Char"/>
    <w:basedOn w:val="944"/>
    <w:link w:val="955"/>
    <w:uiPriority w:val="99"/>
  </w:style>
  <w:style w:type="character" w:styleId="798">
    <w:name w:val="Footer Char"/>
    <w:basedOn w:val="944"/>
    <w:link w:val="959"/>
    <w:uiPriority w:val="99"/>
  </w:style>
  <w:style w:type="paragraph" w:styleId="799">
    <w:name w:val="Caption"/>
    <w:basedOn w:val="941"/>
    <w:next w:val="94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0">
    <w:name w:val="Caption Char"/>
    <w:basedOn w:val="799"/>
    <w:link w:val="959"/>
    <w:uiPriority w:val="99"/>
  </w:style>
  <w:style w:type="table" w:styleId="801">
    <w:name w:val="Table Grid Light"/>
    <w:basedOn w:val="9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2">
    <w:name w:val="Plain Table 1"/>
    <w:basedOn w:val="9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3">
    <w:name w:val="Plain Table 2"/>
    <w:basedOn w:val="94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4">
    <w:name w:val="Plain Table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5">
    <w:name w:val="Plain Table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Plain Table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7">
    <w:name w:val="Grid Table 1 Light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1 Light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1 Light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1 Light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1 Light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2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2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2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2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2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4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9">
    <w:name w:val="Grid Table 4 - Accent 1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0">
    <w:name w:val="Grid Table 4 - Accent 2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1">
    <w:name w:val="Grid Table 4 - Accent 3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2">
    <w:name w:val="Grid Table 4 - Accent 4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3">
    <w:name w:val="Grid Table 4 - Accent 5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4">
    <w:name w:val="Grid Table 4 - Accent 6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5">
    <w:name w:val="Grid Table 5 Dark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6">
    <w:name w:val="Grid Table 5 Dark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7">
    <w:name w:val="Grid Table 5 Dark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8">
    <w:name w:val="Grid Table 5 Dark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9">
    <w:name w:val="Grid Table 5 Dark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0">
    <w:name w:val="Grid Table 5 Dark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41">
    <w:name w:val="Grid Table 5 Dark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42">
    <w:name w:val="Grid Table 6 Colorful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3">
    <w:name w:val="Grid Table 6 Colorful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4">
    <w:name w:val="Grid Table 6 Colorful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5">
    <w:name w:val="Grid Table 6 Colorful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6">
    <w:name w:val="Grid Table 6 Colorful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7">
    <w:name w:val="Grid Table 6 Colorful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8">
    <w:name w:val="Grid Table 6 Colorful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9">
    <w:name w:val="Grid Table 7 Colorful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7 Colorful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7 Colorful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7 Colorful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7 Colorful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7 Colorful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4">
    <w:name w:val="List Table 2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5">
    <w:name w:val="List Table 2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6">
    <w:name w:val="List Table 2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7">
    <w:name w:val="List Table 2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8">
    <w:name w:val="List Table 2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9">
    <w:name w:val="List Table 2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0">
    <w:name w:val="List Table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3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3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3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3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5 Dark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5">
    <w:name w:val="List Table 5 Dark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5 Dark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5 Dark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5 Dark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5 Dark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5 Dark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6 Colorful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2">
    <w:name w:val="List Table 6 Colorful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3">
    <w:name w:val="List Table 6 Colorful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4">
    <w:name w:val="List Table 6 Colorful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5">
    <w:name w:val="List Table 6 Colorful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6">
    <w:name w:val="List Table 6 Colorful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7">
    <w:name w:val="List Table 6 Colorful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8">
    <w:name w:val="List Table 7 Colorful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9">
    <w:name w:val="List Table 7 Colorful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00">
    <w:name w:val="List Table 7 Colorful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01">
    <w:name w:val="List Table 7 Colorful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02">
    <w:name w:val="List Table 7 Colorful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03">
    <w:name w:val="List Table 7 Colorful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04">
    <w:name w:val="List Table 7 Colorful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05">
    <w:name w:val="Lined - Accent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6">
    <w:name w:val="Lined - Accent 1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7">
    <w:name w:val="Lined - Accent 2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8">
    <w:name w:val="Lined - Accent 3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9">
    <w:name w:val="Lined - Accent 4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0">
    <w:name w:val="Lined - Accent 5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1">
    <w:name w:val="Lined - Accent 6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2">
    <w:name w:val="Bordered &amp; Lined - Accent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3">
    <w:name w:val="Bordered &amp; Lined - Accent 1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4">
    <w:name w:val="Bordered &amp; Lined - Accent 2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5">
    <w:name w:val="Bordered &amp; Lined - Accent 3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6">
    <w:name w:val="Bordered &amp; Lined - Accent 4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7">
    <w:name w:val="Bordered &amp; Lined - Accent 5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8">
    <w:name w:val="Bordered &amp; Lined - Accent 6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9">
    <w:name w:val="Bordered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0">
    <w:name w:val="Bordered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1">
    <w:name w:val="Bordered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2">
    <w:name w:val="Bordered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3">
    <w:name w:val="Bordered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4">
    <w:name w:val="Bordered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5">
    <w:name w:val="Bordered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6">
    <w:name w:val="Footnote Text Char"/>
    <w:link w:val="961"/>
    <w:uiPriority w:val="99"/>
    <w:rPr>
      <w:sz w:val="18"/>
    </w:rPr>
  </w:style>
  <w:style w:type="paragraph" w:styleId="927">
    <w:name w:val="endnote text"/>
    <w:basedOn w:val="941"/>
    <w:link w:val="928"/>
    <w:uiPriority w:val="99"/>
    <w:semiHidden/>
    <w:unhideWhenUsed/>
    <w:pPr>
      <w:spacing w:after="0" w:line="240" w:lineRule="auto"/>
    </w:pPr>
    <w:rPr>
      <w:sz w:val="20"/>
    </w:rPr>
  </w:style>
  <w:style w:type="character" w:styleId="928">
    <w:name w:val="Endnote Text Char"/>
    <w:link w:val="927"/>
    <w:uiPriority w:val="99"/>
    <w:rPr>
      <w:sz w:val="20"/>
    </w:rPr>
  </w:style>
  <w:style w:type="character" w:styleId="929">
    <w:name w:val="endnote reference"/>
    <w:basedOn w:val="944"/>
    <w:uiPriority w:val="99"/>
    <w:semiHidden/>
    <w:unhideWhenUsed/>
    <w:rPr>
      <w:vertAlign w:val="superscript"/>
    </w:rPr>
  </w:style>
  <w:style w:type="paragraph" w:styleId="930">
    <w:name w:val="toc 1"/>
    <w:basedOn w:val="941"/>
    <w:next w:val="941"/>
    <w:uiPriority w:val="39"/>
    <w:unhideWhenUsed/>
    <w:pPr>
      <w:ind w:left="0" w:right="0" w:firstLine="0"/>
      <w:spacing w:after="57"/>
    </w:pPr>
  </w:style>
  <w:style w:type="paragraph" w:styleId="931">
    <w:name w:val="toc 2"/>
    <w:basedOn w:val="941"/>
    <w:next w:val="941"/>
    <w:uiPriority w:val="39"/>
    <w:unhideWhenUsed/>
    <w:pPr>
      <w:ind w:left="283" w:right="0" w:firstLine="0"/>
      <w:spacing w:after="57"/>
    </w:pPr>
  </w:style>
  <w:style w:type="paragraph" w:styleId="932">
    <w:name w:val="toc 3"/>
    <w:basedOn w:val="941"/>
    <w:next w:val="941"/>
    <w:uiPriority w:val="39"/>
    <w:unhideWhenUsed/>
    <w:pPr>
      <w:ind w:left="567" w:right="0" w:firstLine="0"/>
      <w:spacing w:after="57"/>
    </w:pPr>
  </w:style>
  <w:style w:type="paragraph" w:styleId="933">
    <w:name w:val="toc 4"/>
    <w:basedOn w:val="941"/>
    <w:next w:val="941"/>
    <w:uiPriority w:val="39"/>
    <w:unhideWhenUsed/>
    <w:pPr>
      <w:ind w:left="850" w:right="0" w:firstLine="0"/>
      <w:spacing w:after="57"/>
    </w:pPr>
  </w:style>
  <w:style w:type="paragraph" w:styleId="934">
    <w:name w:val="toc 5"/>
    <w:basedOn w:val="941"/>
    <w:next w:val="941"/>
    <w:uiPriority w:val="39"/>
    <w:unhideWhenUsed/>
    <w:pPr>
      <w:ind w:left="1134" w:right="0" w:firstLine="0"/>
      <w:spacing w:after="57"/>
    </w:pPr>
  </w:style>
  <w:style w:type="paragraph" w:styleId="935">
    <w:name w:val="toc 6"/>
    <w:basedOn w:val="941"/>
    <w:next w:val="941"/>
    <w:uiPriority w:val="39"/>
    <w:unhideWhenUsed/>
    <w:pPr>
      <w:ind w:left="1417" w:right="0" w:firstLine="0"/>
      <w:spacing w:after="57"/>
    </w:pPr>
  </w:style>
  <w:style w:type="paragraph" w:styleId="936">
    <w:name w:val="toc 7"/>
    <w:basedOn w:val="941"/>
    <w:next w:val="941"/>
    <w:uiPriority w:val="39"/>
    <w:unhideWhenUsed/>
    <w:pPr>
      <w:ind w:left="1701" w:right="0" w:firstLine="0"/>
      <w:spacing w:after="57"/>
    </w:pPr>
  </w:style>
  <w:style w:type="paragraph" w:styleId="937">
    <w:name w:val="toc 8"/>
    <w:basedOn w:val="941"/>
    <w:next w:val="941"/>
    <w:uiPriority w:val="39"/>
    <w:unhideWhenUsed/>
    <w:pPr>
      <w:ind w:left="1984" w:right="0" w:firstLine="0"/>
      <w:spacing w:after="57"/>
    </w:pPr>
  </w:style>
  <w:style w:type="paragraph" w:styleId="938">
    <w:name w:val="toc 9"/>
    <w:basedOn w:val="941"/>
    <w:next w:val="941"/>
    <w:uiPriority w:val="39"/>
    <w:unhideWhenUsed/>
    <w:pPr>
      <w:ind w:left="2268" w:right="0" w:firstLine="0"/>
      <w:spacing w:after="57"/>
    </w:pPr>
  </w:style>
  <w:style w:type="paragraph" w:styleId="939">
    <w:name w:val="TOC Heading"/>
    <w:uiPriority w:val="39"/>
    <w:unhideWhenUsed/>
  </w:style>
  <w:style w:type="paragraph" w:styleId="940">
    <w:name w:val="table of figures"/>
    <w:basedOn w:val="941"/>
    <w:next w:val="941"/>
    <w:uiPriority w:val="99"/>
    <w:unhideWhenUsed/>
    <w:pPr>
      <w:spacing w:after="0" w:afterAutospacing="0"/>
    </w:pPr>
  </w:style>
  <w:style w:type="paragraph" w:styleId="941" w:default="1">
    <w:name w:val="Normal"/>
    <w:qFormat/>
  </w:style>
  <w:style w:type="paragraph" w:styleId="942">
    <w:name w:val="Heading 1"/>
    <w:basedOn w:val="941"/>
    <w:next w:val="941"/>
    <w:link w:val="954"/>
    <w:uiPriority w:val="9"/>
    <w:qFormat/>
    <w:pPr>
      <w:keepLines/>
      <w:keepNext/>
      <w:spacing w:before="480" w:after="0" w:line="240" w:lineRule="auto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943">
    <w:name w:val="Heading 3"/>
    <w:basedOn w:val="941"/>
    <w:next w:val="941"/>
    <w:link w:val="949"/>
    <w:unhideWhenUsed/>
    <w:qFormat/>
    <w:pPr>
      <w:keepNext/>
      <w:spacing w:before="240" w:after="60" w:line="240" w:lineRule="auto"/>
      <w:outlineLvl w:val="2"/>
    </w:pPr>
    <w:rPr>
      <w:rFonts w:ascii="Arial" w:hAnsi="Arial" w:eastAsia="Times New Roman" w:cs="Arial"/>
      <w:b/>
      <w:bCs/>
      <w:sz w:val="26"/>
      <w:szCs w:val="26"/>
      <w:lang w:eastAsia="ru-RU" w:bidi="he-IL"/>
    </w:rPr>
  </w:style>
  <w:style w:type="character" w:styleId="944" w:default="1">
    <w:name w:val="Default Paragraph Font"/>
    <w:uiPriority w:val="1"/>
    <w:unhideWhenUsed/>
  </w:style>
  <w:style w:type="table" w:styleId="94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6" w:default="1">
    <w:name w:val="No List"/>
    <w:uiPriority w:val="99"/>
    <w:semiHidden/>
    <w:unhideWhenUsed/>
  </w:style>
  <w:style w:type="paragraph" w:styleId="947">
    <w:name w:val="List Paragraph"/>
    <w:basedOn w:val="941"/>
    <w:uiPriority w:val="34"/>
    <w:qFormat/>
    <w:pPr>
      <w:contextualSpacing/>
      <w:ind w:left="720"/>
    </w:pPr>
  </w:style>
  <w:style w:type="paragraph" w:styleId="948" w:customStyle="1">
    <w:name w:val="s_1"/>
    <w:basedOn w:val="94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49" w:customStyle="1">
    <w:name w:val="Заголовок 3 Знак"/>
    <w:basedOn w:val="944"/>
    <w:link w:val="943"/>
    <w:rPr>
      <w:rFonts w:ascii="Arial" w:hAnsi="Arial" w:eastAsia="Times New Roman" w:cs="Arial"/>
      <w:b/>
      <w:bCs/>
      <w:sz w:val="26"/>
      <w:szCs w:val="26"/>
      <w:lang w:eastAsia="ru-RU" w:bidi="he-IL"/>
    </w:rPr>
  </w:style>
  <w:style w:type="character" w:styleId="950">
    <w:name w:val="Hyperlink"/>
    <w:basedOn w:val="944"/>
    <w:uiPriority w:val="99"/>
    <w:unhideWhenUsed/>
    <w:rPr>
      <w:color w:val="0000ff" w:themeColor="hyperlink"/>
      <w:u w:val="single"/>
    </w:rPr>
  </w:style>
  <w:style w:type="paragraph" w:styleId="951">
    <w:name w:val="Body Text"/>
    <w:basedOn w:val="941"/>
    <w:link w:val="952"/>
    <w:unhideWhenUsed/>
    <w:pPr>
      <w:spacing w:after="120"/>
    </w:pPr>
  </w:style>
  <w:style w:type="character" w:styleId="952" w:customStyle="1">
    <w:name w:val="Основной текст Знак"/>
    <w:basedOn w:val="944"/>
    <w:link w:val="951"/>
  </w:style>
  <w:style w:type="paragraph" w:styleId="953" w:customStyle="1">
    <w:name w:val="ConsPlusNormal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styleId="954" w:customStyle="1">
    <w:name w:val="Заголовок 1 Знак"/>
    <w:basedOn w:val="944"/>
    <w:link w:val="942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955">
    <w:name w:val="Header"/>
    <w:basedOn w:val="941"/>
    <w:link w:val="956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6" w:customStyle="1">
    <w:name w:val="Верхний колонтитул Знак"/>
    <w:basedOn w:val="944"/>
    <w:link w:val="95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7">
    <w:name w:val="Balloon Text"/>
    <w:basedOn w:val="941"/>
    <w:link w:val="958"/>
    <w:uiPriority w:val="99"/>
    <w:semiHidden/>
    <w:unhideWhenUsed/>
    <w:pPr>
      <w:spacing w:after="0" w:line="240" w:lineRule="auto"/>
    </w:pPr>
    <w:rPr>
      <w:rFonts w:ascii="Tahoma" w:hAnsi="Tahoma" w:eastAsia="Times New Roman" w:cs="Tahoma"/>
      <w:sz w:val="16"/>
      <w:szCs w:val="16"/>
      <w:lang w:eastAsia="ru-RU"/>
    </w:rPr>
  </w:style>
  <w:style w:type="character" w:styleId="958" w:customStyle="1">
    <w:name w:val="Текст выноски Знак"/>
    <w:basedOn w:val="944"/>
    <w:link w:val="957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59">
    <w:name w:val="Footer"/>
    <w:basedOn w:val="941"/>
    <w:link w:val="96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0" w:customStyle="1">
    <w:name w:val="Нижний колонтитул Знак"/>
    <w:basedOn w:val="944"/>
    <w:link w:val="95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1">
    <w:name w:val="footnote text"/>
    <w:basedOn w:val="941"/>
    <w:link w:val="962"/>
    <w:uiPriority w:val="99"/>
    <w:unhideWhenUsed/>
    <w:pPr>
      <w:spacing w:after="160" w:line="259" w:lineRule="auto"/>
    </w:pPr>
    <w:rPr>
      <w:rFonts w:cs="Times New Roman" w:eastAsiaTheme="minorEastAsia"/>
      <w:sz w:val="20"/>
      <w:szCs w:val="20"/>
      <w:lang w:eastAsia="ru-RU"/>
    </w:rPr>
  </w:style>
  <w:style w:type="character" w:styleId="962" w:customStyle="1">
    <w:name w:val="Текст сноски Знак"/>
    <w:basedOn w:val="944"/>
    <w:link w:val="961"/>
    <w:uiPriority w:val="99"/>
    <w:rPr>
      <w:rFonts w:cs="Times New Roman" w:eastAsiaTheme="minorEastAsia"/>
      <w:sz w:val="20"/>
      <w:szCs w:val="20"/>
      <w:lang w:eastAsia="ru-RU"/>
    </w:rPr>
  </w:style>
  <w:style w:type="character" w:styleId="963">
    <w:name w:val="footnote reference"/>
    <w:basedOn w:val="944"/>
    <w:uiPriority w:val="99"/>
    <w:unhideWhenUsed/>
    <w:rPr>
      <w:rFonts w:cs="Times New Roman"/>
      <w:vertAlign w:val="superscript"/>
    </w:rPr>
  </w:style>
  <w:style w:type="paragraph" w:styleId="964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  <w:style w:type="character" w:styleId="965" w:customStyle="1">
    <w:name w:val="Font Style26"/>
    <w:basedOn w:val="944"/>
    <w:uiPriority w:val="99"/>
    <w:rPr>
      <w:rFonts w:ascii="Times New Roman" w:hAnsi="Times New Roman" w:cs="Times New Roman"/>
      <w:b/>
      <w:bCs/>
      <w:sz w:val="22"/>
      <w:szCs w:val="22"/>
    </w:rPr>
  </w:style>
  <w:style w:type="table" w:styleId="966">
    <w:name w:val="Table Grid"/>
    <w:basedOn w:val="94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67" w:customStyle="1">
    <w:name w:val="Нормальный (таблица)"/>
    <w:basedOn w:val="941"/>
    <w:next w:val="941"/>
    <w:uiPriority w:val="99"/>
    <w:pPr>
      <w:jc w:val="both"/>
      <w:spacing w:after="0" w:line="240" w:lineRule="auto"/>
      <w:widowControl w:val="off"/>
    </w:pPr>
    <w:rPr>
      <w:rFonts w:ascii="Times New Roman CYR" w:hAnsi="Times New Roman CYR" w:cs="Times New Roman CYR" w:eastAsiaTheme="minorEastAsia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s://internet.garant.ru/document/redirect/408992634/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 А. Стамиков</dc:creator>
  <cp:revision>27</cp:revision>
  <dcterms:created xsi:type="dcterms:W3CDTF">2024-05-16T03:36:00Z</dcterms:created>
  <dcterms:modified xsi:type="dcterms:W3CDTF">2024-10-07T06:06:34Z</dcterms:modified>
</cp:coreProperties>
</file>